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97" w:rsidRPr="00465141" w:rsidRDefault="008B50D5">
      <w:pPr>
        <w:rPr>
          <w:rFonts w:ascii="Book Antiqua" w:hAnsi="Book Antiqua"/>
          <w:color w:val="000000"/>
          <w:sz w:val="28"/>
          <w:szCs w:val="24"/>
        </w:rPr>
      </w:pPr>
      <w:r w:rsidRPr="00465141">
        <w:rPr>
          <w:rFonts w:ascii="Book Antiqua" w:hAnsi="Book Antiqua"/>
          <w:b/>
          <w:color w:val="000000"/>
          <w:sz w:val="28"/>
          <w:szCs w:val="24"/>
        </w:rPr>
        <w:t xml:space="preserve">Topic: </w:t>
      </w:r>
      <w:r w:rsidRPr="00465141">
        <w:rPr>
          <w:rFonts w:ascii="Book Antiqua" w:hAnsi="Book Antiqua"/>
          <w:color w:val="000000"/>
          <w:sz w:val="28"/>
          <w:szCs w:val="24"/>
        </w:rPr>
        <w:t>Regular use of alcohol and tobacco in India and its association with age, gender, and poverty</w:t>
      </w:r>
    </w:p>
    <w:p w:rsidR="008B50D5" w:rsidRPr="00465141" w:rsidRDefault="008B50D5">
      <w:pPr>
        <w:rPr>
          <w:rFonts w:ascii="Book Antiqua" w:hAnsi="Book Antiqua"/>
          <w:color w:val="000000"/>
          <w:sz w:val="28"/>
          <w:szCs w:val="24"/>
        </w:rPr>
      </w:pPr>
      <w:r w:rsidRPr="00465141">
        <w:rPr>
          <w:rFonts w:ascii="Book Antiqua" w:hAnsi="Book Antiqua"/>
          <w:b/>
          <w:color w:val="000000"/>
          <w:sz w:val="28"/>
          <w:szCs w:val="24"/>
        </w:rPr>
        <w:t xml:space="preserve">Author: </w:t>
      </w:r>
      <w:r w:rsidRPr="00465141">
        <w:rPr>
          <w:rFonts w:ascii="Book Antiqua" w:hAnsi="Book Antiqua"/>
          <w:color w:val="000000"/>
          <w:sz w:val="28"/>
          <w:szCs w:val="24"/>
        </w:rPr>
        <w:t>Gopal Singh</w:t>
      </w:r>
    </w:p>
    <w:p w:rsidR="008B50D5" w:rsidRPr="00465141" w:rsidRDefault="008B50D5">
      <w:pPr>
        <w:rPr>
          <w:rFonts w:ascii="Book Antiqua" w:hAnsi="Book Antiqua"/>
          <w:color w:val="000000"/>
          <w:sz w:val="28"/>
          <w:szCs w:val="24"/>
        </w:rPr>
      </w:pPr>
      <w:r w:rsidRPr="00465141">
        <w:rPr>
          <w:rFonts w:ascii="Book Antiqua" w:hAnsi="Book Antiqua"/>
          <w:b/>
          <w:color w:val="000000"/>
          <w:sz w:val="28"/>
          <w:szCs w:val="24"/>
        </w:rPr>
        <w:t xml:space="preserve">Details: </w:t>
      </w:r>
      <w:r w:rsidRPr="00465141">
        <w:rPr>
          <w:rFonts w:ascii="Book Antiqua" w:hAnsi="Book Antiqua"/>
          <w:color w:val="000000"/>
          <w:sz w:val="28"/>
          <w:szCs w:val="24"/>
        </w:rPr>
        <w:t>Register number 1931011, 2</w:t>
      </w:r>
      <w:r w:rsidRPr="00465141">
        <w:rPr>
          <w:rFonts w:ascii="Book Antiqua" w:hAnsi="Book Antiqua"/>
          <w:color w:val="000000"/>
          <w:sz w:val="28"/>
          <w:szCs w:val="24"/>
          <w:vertAlign w:val="superscript"/>
        </w:rPr>
        <w:t>nd</w:t>
      </w:r>
      <w:r w:rsidRPr="00465141">
        <w:rPr>
          <w:rFonts w:ascii="Book Antiqua" w:hAnsi="Book Antiqua"/>
          <w:color w:val="000000"/>
          <w:sz w:val="28"/>
          <w:szCs w:val="24"/>
        </w:rPr>
        <w:t xml:space="preserve"> </w:t>
      </w:r>
      <w:proofErr w:type="spellStart"/>
      <w:r w:rsidRPr="00465141">
        <w:rPr>
          <w:rFonts w:ascii="Book Antiqua" w:hAnsi="Book Antiqua"/>
          <w:color w:val="000000"/>
          <w:sz w:val="28"/>
          <w:szCs w:val="24"/>
        </w:rPr>
        <w:t>PSEng</w:t>
      </w:r>
      <w:proofErr w:type="spellEnd"/>
    </w:p>
    <w:p w:rsidR="008B50D5" w:rsidRDefault="008B50D5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Abstract</w:t>
      </w:r>
    </w:p>
    <w:p w:rsidR="008B50D5" w:rsidRDefault="008B50D5" w:rsidP="001361B0">
      <w:pPr>
        <w:rPr>
          <w:rFonts w:ascii="Book Antiqua" w:hAnsi="Book Antiqua"/>
          <w:sz w:val="24"/>
          <w:szCs w:val="24"/>
        </w:rPr>
      </w:pPr>
      <w:r w:rsidRPr="008B50D5">
        <w:rPr>
          <w:rFonts w:ascii="Book Antiqua" w:hAnsi="Book Antiqua"/>
          <w:sz w:val="24"/>
          <w:szCs w:val="24"/>
        </w:rPr>
        <w:t>This study provides national estimates of regular tobacco and alcohol use in India and their associations</w:t>
      </w:r>
      <w:r>
        <w:rPr>
          <w:rFonts w:ascii="Book Antiqua" w:hAnsi="Book Antiqua"/>
          <w:sz w:val="24"/>
          <w:szCs w:val="24"/>
        </w:rPr>
        <w:t xml:space="preserve"> with gender, age, and economic </w:t>
      </w:r>
      <w:r w:rsidRPr="008B50D5">
        <w:rPr>
          <w:rFonts w:ascii="Book Antiqua" w:hAnsi="Book Antiqua"/>
          <w:sz w:val="24"/>
          <w:szCs w:val="24"/>
        </w:rPr>
        <w:t>group obtained from a representative survey of 471,143 people over the age of 10 years in 1995–96, the Natio</w:t>
      </w:r>
      <w:r>
        <w:rPr>
          <w:rFonts w:ascii="Book Antiqua" w:hAnsi="Book Antiqua"/>
          <w:sz w:val="24"/>
          <w:szCs w:val="24"/>
        </w:rPr>
        <w:t xml:space="preserve">nal Sample Survey. The national </w:t>
      </w:r>
      <w:r w:rsidRPr="008B50D5">
        <w:rPr>
          <w:rFonts w:ascii="Book Antiqua" w:hAnsi="Book Antiqua"/>
          <w:sz w:val="24"/>
          <w:szCs w:val="24"/>
        </w:rPr>
        <w:t>prevalence of regular use of smoking tobacco is estimated to be 16.2%, chewing tobacco 14.0%, and al</w:t>
      </w:r>
      <w:r>
        <w:rPr>
          <w:rFonts w:ascii="Book Antiqua" w:hAnsi="Book Antiqua"/>
          <w:sz w:val="24"/>
          <w:szCs w:val="24"/>
        </w:rPr>
        <w:t xml:space="preserve">cohol 4.5%. Men were 25.5 times </w:t>
      </w:r>
      <w:r w:rsidRPr="008B50D5">
        <w:rPr>
          <w:rFonts w:ascii="Book Antiqua" w:hAnsi="Book Antiqua"/>
          <w:sz w:val="24"/>
          <w:szCs w:val="24"/>
        </w:rPr>
        <w:t>more likely than women to report regular smoking, 3.7 times more likely to regularly chew tobacco, and 9.7</w:t>
      </w:r>
      <w:r>
        <w:rPr>
          <w:rFonts w:ascii="Book Antiqua" w:hAnsi="Book Antiqua"/>
          <w:sz w:val="24"/>
          <w:szCs w:val="24"/>
        </w:rPr>
        <w:t xml:space="preserve"> times more likely to regularly </w:t>
      </w:r>
      <w:r w:rsidRPr="008B50D5">
        <w:rPr>
          <w:rFonts w:ascii="Book Antiqua" w:hAnsi="Book Antiqua"/>
          <w:sz w:val="24"/>
          <w:szCs w:val="24"/>
        </w:rPr>
        <w:t>use alcohol. Respondents belonging to scheduled castes and tribes (recognized disadvantaged groups) were sign</w:t>
      </w:r>
      <w:r>
        <w:rPr>
          <w:rFonts w:ascii="Book Antiqua" w:hAnsi="Book Antiqua"/>
          <w:sz w:val="24"/>
          <w:szCs w:val="24"/>
        </w:rPr>
        <w:t xml:space="preserve">ificantly more likely to report </w:t>
      </w:r>
      <w:r w:rsidRPr="008B50D5">
        <w:rPr>
          <w:rFonts w:ascii="Book Antiqua" w:hAnsi="Book Antiqua"/>
          <w:sz w:val="24"/>
          <w:szCs w:val="24"/>
        </w:rPr>
        <w:t>regular use of alcohol as well as smoking and chewing tobacco. People from rural areas had higher rates</w:t>
      </w:r>
      <w:r>
        <w:rPr>
          <w:rFonts w:ascii="Book Antiqua" w:hAnsi="Book Antiqua"/>
          <w:sz w:val="24"/>
          <w:szCs w:val="24"/>
        </w:rPr>
        <w:t xml:space="preserve"> compared to urban dwellers, as </w:t>
      </w:r>
      <w:r w:rsidRPr="008B50D5">
        <w:rPr>
          <w:rFonts w:ascii="Book Antiqua" w:hAnsi="Book Antiqua"/>
          <w:sz w:val="24"/>
          <w:szCs w:val="24"/>
        </w:rPr>
        <w:t>did those with no formal education. Individuals with incomes below the poverty line had higher relative</w:t>
      </w:r>
      <w:r>
        <w:rPr>
          <w:rFonts w:ascii="Book Antiqua" w:hAnsi="Book Antiqua"/>
          <w:sz w:val="24"/>
          <w:szCs w:val="24"/>
        </w:rPr>
        <w:t xml:space="preserve"> odds of use of chewing tobacco </w:t>
      </w:r>
      <w:r w:rsidRPr="008B50D5">
        <w:rPr>
          <w:rFonts w:ascii="Book Antiqua" w:hAnsi="Book Antiqua"/>
          <w:sz w:val="24"/>
          <w:szCs w:val="24"/>
        </w:rPr>
        <w:t>and alcohol compared to those above the poverty line. The regular use of both tobacco and alcohol also in</w:t>
      </w:r>
      <w:r>
        <w:rPr>
          <w:rFonts w:ascii="Book Antiqua" w:hAnsi="Book Antiqua"/>
          <w:sz w:val="24"/>
          <w:szCs w:val="24"/>
        </w:rPr>
        <w:t xml:space="preserve">creased significantly with each </w:t>
      </w:r>
      <w:r w:rsidRPr="008B50D5">
        <w:rPr>
          <w:rFonts w:ascii="Book Antiqua" w:hAnsi="Book Antiqua"/>
          <w:sz w:val="24"/>
          <w:szCs w:val="24"/>
        </w:rPr>
        <w:t>diminishing income quintile. Comparisons are made between these results and those found in the United Sta</w:t>
      </w:r>
      <w:r>
        <w:rPr>
          <w:rFonts w:ascii="Book Antiqua" w:hAnsi="Book Antiqua"/>
          <w:sz w:val="24"/>
          <w:szCs w:val="24"/>
        </w:rPr>
        <w:t xml:space="preserve">tes and elsewhere, highlighting </w:t>
      </w:r>
      <w:r w:rsidRPr="008B50D5">
        <w:rPr>
          <w:rFonts w:ascii="Book Antiqua" w:hAnsi="Book Antiqua"/>
          <w:sz w:val="24"/>
          <w:szCs w:val="24"/>
        </w:rPr>
        <w:t>the need to address control of these substances on the public health agenda</w:t>
      </w:r>
    </w:p>
    <w:p w:rsidR="008B50D5" w:rsidRDefault="008B50D5">
      <w:pPr>
        <w:rPr>
          <w:rFonts w:ascii="Book Antiqua" w:hAnsi="Book Antiqua"/>
          <w:sz w:val="24"/>
          <w:szCs w:val="24"/>
        </w:rPr>
      </w:pPr>
    </w:p>
    <w:p w:rsidR="008B50D5" w:rsidRDefault="008B50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 INTRODUCTION</w:t>
      </w:r>
    </w:p>
    <w:p w:rsidR="008B50D5" w:rsidRDefault="008B50D5">
      <w:pPr>
        <w:rPr>
          <w:rFonts w:ascii="Book Antiqua" w:hAnsi="Book Antiqua"/>
          <w:sz w:val="24"/>
          <w:szCs w:val="24"/>
        </w:rPr>
      </w:pPr>
      <w:r w:rsidRPr="008B50D5">
        <w:rPr>
          <w:rFonts w:ascii="Book Antiqua" w:hAnsi="Book Antiqua"/>
          <w:sz w:val="24"/>
          <w:szCs w:val="24"/>
        </w:rPr>
        <w:t>Regular use of tobacco an</w:t>
      </w:r>
      <w:r>
        <w:rPr>
          <w:rFonts w:ascii="Book Antiqua" w:hAnsi="Book Antiqua"/>
          <w:sz w:val="24"/>
          <w:szCs w:val="24"/>
        </w:rPr>
        <w:t xml:space="preserve">d alcohol is clearly associated </w:t>
      </w:r>
      <w:r w:rsidRPr="008B50D5">
        <w:rPr>
          <w:rFonts w:ascii="Book Antiqua" w:hAnsi="Book Antiqua"/>
          <w:sz w:val="24"/>
          <w:szCs w:val="24"/>
        </w:rPr>
        <w:t>with the development of sig</w:t>
      </w:r>
      <w:r>
        <w:rPr>
          <w:rFonts w:ascii="Book Antiqua" w:hAnsi="Book Antiqua"/>
          <w:sz w:val="24"/>
          <w:szCs w:val="24"/>
        </w:rPr>
        <w:t xml:space="preserve">nificant disease and disability </w:t>
      </w:r>
      <w:r w:rsidRPr="008B50D5">
        <w:rPr>
          <w:rFonts w:ascii="Book Antiqua" w:hAnsi="Book Antiqua"/>
          <w:sz w:val="24"/>
          <w:szCs w:val="24"/>
        </w:rPr>
        <w:t>(Murray</w:t>
      </w:r>
      <w:r w:rsidR="000C1E4F">
        <w:rPr>
          <w:rFonts w:ascii="Book Antiqua" w:hAnsi="Book Antiqua"/>
          <w:sz w:val="24"/>
          <w:szCs w:val="24"/>
        </w:rPr>
        <w:t>, C. J.</w:t>
      </w:r>
      <w:r w:rsidRPr="008B50D5">
        <w:rPr>
          <w:rFonts w:ascii="Book Antiqua" w:hAnsi="Book Antiqua"/>
          <w:sz w:val="24"/>
          <w:szCs w:val="24"/>
        </w:rPr>
        <w:t xml:space="preserve"> and Lopez,</w:t>
      </w:r>
      <w:r w:rsidR="000C1E4F">
        <w:rPr>
          <w:rFonts w:ascii="Book Antiqua" w:hAnsi="Book Antiqua"/>
          <w:sz w:val="24"/>
          <w:szCs w:val="24"/>
        </w:rPr>
        <w:t xml:space="preserve"> A.D.,</w:t>
      </w:r>
      <w:r w:rsidRPr="008B50D5">
        <w:rPr>
          <w:rFonts w:ascii="Book Antiqua" w:hAnsi="Book Antiqua"/>
          <w:sz w:val="24"/>
          <w:szCs w:val="24"/>
        </w:rPr>
        <w:t xml:space="preserve"> 1996). For example, n</w:t>
      </w:r>
      <w:r>
        <w:rPr>
          <w:rFonts w:ascii="Book Antiqua" w:hAnsi="Book Antiqua"/>
          <w:sz w:val="24"/>
          <w:szCs w:val="24"/>
        </w:rPr>
        <w:t xml:space="preserve">umerous studies have documented </w:t>
      </w:r>
      <w:r w:rsidRPr="008B50D5">
        <w:rPr>
          <w:rFonts w:ascii="Book Antiqua" w:hAnsi="Book Antiqua"/>
          <w:sz w:val="24"/>
          <w:szCs w:val="24"/>
        </w:rPr>
        <w:t>a myriad of seriously debilitating and often deadly health effects of regular tobacco use (</w:t>
      </w:r>
      <w:proofErr w:type="spellStart"/>
      <w:r w:rsidR="000C1E4F">
        <w:rPr>
          <w:rFonts w:ascii="Book Antiqua" w:hAnsi="Book Antiqua"/>
          <w:sz w:val="24"/>
          <w:szCs w:val="24"/>
        </w:rPr>
        <w:t>Rehm</w:t>
      </w:r>
      <w:proofErr w:type="spellEnd"/>
      <w:r w:rsidR="000C1E4F">
        <w:rPr>
          <w:rFonts w:ascii="Book Antiqua" w:hAnsi="Book Antiqua"/>
          <w:sz w:val="24"/>
          <w:szCs w:val="24"/>
        </w:rPr>
        <w:t xml:space="preserve">, Room, Graham, </w:t>
      </w:r>
      <w:r w:rsidR="000C1E4F" w:rsidRPr="000C1E4F">
        <w:rPr>
          <w:rFonts w:ascii="Book Antiqua" w:hAnsi="Book Antiqua"/>
          <w:sz w:val="24"/>
          <w:szCs w:val="24"/>
        </w:rPr>
        <w:t>Montei</w:t>
      </w:r>
      <w:r w:rsidR="000C1E4F">
        <w:rPr>
          <w:rFonts w:ascii="Book Antiqua" w:hAnsi="Book Antiqua"/>
          <w:sz w:val="24"/>
          <w:szCs w:val="24"/>
        </w:rPr>
        <w:t xml:space="preserve">ro, </w:t>
      </w:r>
      <w:proofErr w:type="spellStart"/>
      <w:r w:rsidR="000C1E4F">
        <w:rPr>
          <w:rFonts w:ascii="Book Antiqua" w:hAnsi="Book Antiqua"/>
          <w:sz w:val="24"/>
          <w:szCs w:val="24"/>
        </w:rPr>
        <w:t>Gmel</w:t>
      </w:r>
      <w:proofErr w:type="spellEnd"/>
      <w:r w:rsidR="000C1E4F">
        <w:rPr>
          <w:rFonts w:ascii="Book Antiqua" w:hAnsi="Book Antiqua"/>
          <w:sz w:val="24"/>
          <w:szCs w:val="24"/>
        </w:rPr>
        <w:t xml:space="preserve">, </w:t>
      </w:r>
      <w:r w:rsidR="000C1E4F" w:rsidRPr="000C1E4F">
        <w:rPr>
          <w:rFonts w:ascii="Book Antiqua" w:hAnsi="Book Antiqua"/>
          <w:sz w:val="24"/>
          <w:szCs w:val="24"/>
        </w:rPr>
        <w:t xml:space="preserve">&amp; </w:t>
      </w:r>
      <w:proofErr w:type="spellStart"/>
      <w:r w:rsidR="000C1E4F" w:rsidRPr="000C1E4F">
        <w:rPr>
          <w:rFonts w:ascii="Book Antiqua" w:hAnsi="Book Antiqua"/>
          <w:sz w:val="24"/>
          <w:szCs w:val="24"/>
        </w:rPr>
        <w:t>Sempos</w:t>
      </w:r>
      <w:proofErr w:type="spellEnd"/>
      <w:r w:rsidR="000C1E4F">
        <w:rPr>
          <w:rFonts w:ascii="Book Antiqua" w:hAnsi="Book Antiqua"/>
          <w:sz w:val="24"/>
          <w:szCs w:val="24"/>
        </w:rPr>
        <w:t>, 2003</w:t>
      </w:r>
      <w:r w:rsidRPr="008B50D5">
        <w:rPr>
          <w:rFonts w:ascii="Book Antiqua" w:hAnsi="Book Antiqua"/>
          <w:sz w:val="24"/>
          <w:szCs w:val="24"/>
        </w:rPr>
        <w:t>) and misuse of alcohol (</w:t>
      </w:r>
      <w:proofErr w:type="spellStart"/>
      <w:r w:rsidRPr="008B50D5">
        <w:rPr>
          <w:rFonts w:ascii="Book Antiqua" w:hAnsi="Book Antiqua"/>
          <w:sz w:val="24"/>
          <w:szCs w:val="24"/>
        </w:rPr>
        <w:t>Andr</w:t>
      </w:r>
      <w:r>
        <w:rPr>
          <w:rFonts w:ascii="Book Antiqua" w:hAnsi="Book Antiqua"/>
          <w:sz w:val="24"/>
          <w:szCs w:val="24"/>
        </w:rPr>
        <w:t>easson</w:t>
      </w:r>
      <w:proofErr w:type="spellEnd"/>
      <w:r>
        <w:rPr>
          <w:rFonts w:ascii="Book Antiqua" w:hAnsi="Book Antiqua"/>
          <w:sz w:val="24"/>
          <w:szCs w:val="24"/>
        </w:rPr>
        <w:t xml:space="preserve"> and Brandt, 1997</w:t>
      </w:r>
      <w:r w:rsidR="000C1E4F">
        <w:rPr>
          <w:rFonts w:ascii="Book Antiqua" w:hAnsi="Book Antiqua"/>
          <w:sz w:val="24"/>
          <w:szCs w:val="24"/>
        </w:rPr>
        <w:t xml:space="preserve">) (D. Doll and R. </w:t>
      </w:r>
      <w:proofErr w:type="spellStart"/>
      <w:r w:rsidR="000C1E4F" w:rsidRPr="008B50D5">
        <w:rPr>
          <w:rFonts w:ascii="Book Antiqua" w:hAnsi="Book Antiqua"/>
          <w:sz w:val="24"/>
          <w:szCs w:val="24"/>
        </w:rPr>
        <w:t>Peto</w:t>
      </w:r>
      <w:proofErr w:type="spellEnd"/>
      <w:r w:rsidR="000C1E4F" w:rsidRPr="008B50D5">
        <w:rPr>
          <w:rFonts w:ascii="Book Antiqua" w:hAnsi="Book Antiqua"/>
          <w:sz w:val="24"/>
          <w:szCs w:val="24"/>
        </w:rPr>
        <w:t>, 1981</w:t>
      </w:r>
      <w:r w:rsidRPr="008B50D5">
        <w:rPr>
          <w:rFonts w:ascii="Book Antiqua" w:hAnsi="Book Antiqua"/>
          <w:sz w:val="24"/>
          <w:szCs w:val="24"/>
        </w:rPr>
        <w:t>). These associations have motivated considerable interest</w:t>
      </w:r>
      <w:r>
        <w:rPr>
          <w:rFonts w:ascii="Book Antiqua" w:hAnsi="Book Antiqua"/>
          <w:sz w:val="24"/>
          <w:szCs w:val="24"/>
        </w:rPr>
        <w:t xml:space="preserve"> in the epidemiology of tobacco </w:t>
      </w:r>
      <w:r w:rsidRPr="008B50D5">
        <w:rPr>
          <w:rFonts w:ascii="Book Antiqua" w:hAnsi="Book Antiqua"/>
          <w:sz w:val="24"/>
          <w:szCs w:val="24"/>
        </w:rPr>
        <w:t>and alcohol</w:t>
      </w:r>
      <w:r>
        <w:rPr>
          <w:rFonts w:ascii="Book Antiqua" w:hAnsi="Book Antiqua"/>
          <w:sz w:val="24"/>
          <w:szCs w:val="24"/>
        </w:rPr>
        <w:t xml:space="preserve"> use in the world’s population</w:t>
      </w:r>
      <w:r w:rsidR="000C1E4F">
        <w:rPr>
          <w:rFonts w:ascii="Book Antiqua" w:hAnsi="Book Antiqua"/>
          <w:sz w:val="24"/>
          <w:szCs w:val="24"/>
        </w:rPr>
        <w:t xml:space="preserve"> (Global Health Equality Blog spot, 2019)</w:t>
      </w:r>
      <w:r>
        <w:rPr>
          <w:rFonts w:ascii="Book Antiqua" w:hAnsi="Book Antiqua"/>
          <w:sz w:val="24"/>
          <w:szCs w:val="24"/>
        </w:rPr>
        <w:t>.</w:t>
      </w:r>
    </w:p>
    <w:p w:rsidR="008B50D5" w:rsidRDefault="008B50D5" w:rsidP="001361B0">
      <w:pPr>
        <w:spacing w:line="360" w:lineRule="auto"/>
        <w:rPr>
          <w:rFonts w:ascii="Book Antiqua" w:hAnsi="Book Antiqua"/>
          <w:sz w:val="24"/>
          <w:szCs w:val="24"/>
        </w:rPr>
      </w:pPr>
      <w:r w:rsidRPr="008B50D5">
        <w:rPr>
          <w:rFonts w:ascii="Book Antiqua" w:hAnsi="Book Antiqua"/>
          <w:sz w:val="24"/>
          <w:szCs w:val="24"/>
        </w:rPr>
        <w:lastRenderedPageBreak/>
        <w:t>Despite the growing global interest in the problem, considerably less is known abou</w:t>
      </w:r>
      <w:r>
        <w:rPr>
          <w:rFonts w:ascii="Book Antiqua" w:hAnsi="Book Antiqua"/>
          <w:sz w:val="24"/>
          <w:szCs w:val="24"/>
        </w:rPr>
        <w:t xml:space="preserve">t the prevalence of tobacco and </w:t>
      </w:r>
      <w:r w:rsidRPr="008B50D5">
        <w:rPr>
          <w:rFonts w:ascii="Book Antiqua" w:hAnsi="Book Antiqua"/>
          <w:sz w:val="24"/>
          <w:szCs w:val="24"/>
        </w:rPr>
        <w:t>alcohol use in many developing cou</w:t>
      </w:r>
      <w:r>
        <w:rPr>
          <w:rFonts w:ascii="Book Antiqua" w:hAnsi="Book Antiqua"/>
          <w:sz w:val="24"/>
          <w:szCs w:val="24"/>
        </w:rPr>
        <w:t xml:space="preserve">ntries, when compared </w:t>
      </w:r>
      <w:r w:rsidRPr="008B50D5">
        <w:rPr>
          <w:rFonts w:ascii="Book Antiqua" w:hAnsi="Book Antiqua"/>
          <w:sz w:val="24"/>
          <w:szCs w:val="24"/>
        </w:rPr>
        <w:t>with developed nations</w:t>
      </w:r>
      <w:r w:rsidR="000C1E4F">
        <w:rPr>
          <w:rFonts w:ascii="Book Antiqua" w:hAnsi="Book Antiqua"/>
          <w:sz w:val="24"/>
          <w:szCs w:val="24"/>
        </w:rPr>
        <w:t xml:space="preserve"> (ImpactGuru.com)</w:t>
      </w:r>
      <w:r w:rsidRPr="008B50D5">
        <w:rPr>
          <w:rFonts w:ascii="Book Antiqua" w:hAnsi="Book Antiqua"/>
          <w:sz w:val="24"/>
          <w:szCs w:val="24"/>
        </w:rPr>
        <w:t xml:space="preserve">. One of the largest developing countries in the world is India: </w:t>
      </w:r>
      <w:r>
        <w:rPr>
          <w:rFonts w:ascii="Book Antiqua" w:hAnsi="Book Antiqua"/>
          <w:sz w:val="24"/>
          <w:szCs w:val="24"/>
        </w:rPr>
        <w:t>with a population exceeding one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</w:t>
      </w:r>
      <w:r w:rsidRPr="008B50D5">
        <w:rPr>
          <w:rFonts w:ascii="Book Antiqua" w:hAnsi="Book Antiqua"/>
          <w:sz w:val="24"/>
          <w:szCs w:val="24"/>
        </w:rPr>
        <w:t xml:space="preserve">billion people, India already </w:t>
      </w:r>
      <w:r>
        <w:rPr>
          <w:rFonts w:ascii="Book Antiqua" w:hAnsi="Book Antiqua"/>
          <w:sz w:val="24"/>
          <w:szCs w:val="24"/>
        </w:rPr>
        <w:t xml:space="preserve">bears a large proportion of the </w:t>
      </w:r>
      <w:r w:rsidRPr="008B50D5">
        <w:rPr>
          <w:rFonts w:ascii="Book Antiqua" w:hAnsi="Book Antiqua"/>
          <w:sz w:val="24"/>
          <w:szCs w:val="24"/>
        </w:rPr>
        <w:t>world’s disease burden (over 20% of all disability ad</w:t>
      </w:r>
      <w:r>
        <w:rPr>
          <w:rFonts w:ascii="Book Antiqua" w:hAnsi="Book Antiqua"/>
          <w:sz w:val="24"/>
          <w:szCs w:val="24"/>
        </w:rPr>
        <w:t xml:space="preserve">justed </w:t>
      </w:r>
      <w:r w:rsidRPr="008B50D5">
        <w:rPr>
          <w:rFonts w:ascii="Book Antiqua" w:hAnsi="Book Antiqua"/>
          <w:sz w:val="24"/>
          <w:szCs w:val="24"/>
        </w:rPr>
        <w:t>life years lost) and additiona</w:t>
      </w:r>
      <w:r>
        <w:rPr>
          <w:rFonts w:ascii="Book Antiqua" w:hAnsi="Book Antiqua"/>
          <w:sz w:val="24"/>
          <w:szCs w:val="24"/>
        </w:rPr>
        <w:t xml:space="preserve">l information on the prevalence </w:t>
      </w:r>
      <w:r w:rsidRPr="008B50D5">
        <w:rPr>
          <w:rFonts w:ascii="Book Antiqua" w:hAnsi="Book Antiqua"/>
          <w:sz w:val="24"/>
          <w:szCs w:val="24"/>
        </w:rPr>
        <w:t>of tobacco and alcohol use in</w:t>
      </w:r>
      <w:r>
        <w:rPr>
          <w:rFonts w:ascii="Book Antiqua" w:hAnsi="Book Antiqua"/>
          <w:sz w:val="24"/>
          <w:szCs w:val="24"/>
        </w:rPr>
        <w:t xml:space="preserve"> this country has both national </w:t>
      </w:r>
      <w:r w:rsidRPr="008B50D5">
        <w:rPr>
          <w:rFonts w:ascii="Book Antiqua" w:hAnsi="Book Antiqua"/>
          <w:sz w:val="24"/>
          <w:szCs w:val="24"/>
        </w:rPr>
        <w:t>and global importance (Peters et al., 2002).</w:t>
      </w:r>
    </w:p>
    <w:p w:rsidR="00980196" w:rsidRPr="001361B0" w:rsidRDefault="00980196">
      <w:pPr>
        <w:rPr>
          <w:rFonts w:ascii="Book Antiqua" w:hAnsi="Book Antiqua"/>
          <w:i/>
          <w:sz w:val="24"/>
          <w:szCs w:val="24"/>
        </w:rPr>
      </w:pPr>
      <w:r w:rsidRPr="001361B0">
        <w:rPr>
          <w:rFonts w:ascii="Book Antiqua" w:hAnsi="Book Antiqua"/>
          <w:i/>
          <w:sz w:val="24"/>
          <w:szCs w:val="24"/>
        </w:rPr>
        <w:t>1.1. Scope of the study</w:t>
      </w:r>
    </w:p>
    <w:p w:rsidR="008B50D5" w:rsidRDefault="009801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prevalence rates of substance use in India have not been accounted for in any largescale epidemiological studies. </w:t>
      </w:r>
      <w:r w:rsidR="008B50D5" w:rsidRPr="008B50D5">
        <w:rPr>
          <w:rFonts w:ascii="Book Antiqua" w:hAnsi="Book Antiqua"/>
          <w:sz w:val="24"/>
          <w:szCs w:val="24"/>
        </w:rPr>
        <w:t>This study presents age- an</w:t>
      </w:r>
      <w:r w:rsidR="008B50D5">
        <w:rPr>
          <w:rFonts w:ascii="Book Antiqua" w:hAnsi="Book Antiqua"/>
          <w:sz w:val="24"/>
          <w:szCs w:val="24"/>
        </w:rPr>
        <w:t xml:space="preserve">d sex-specific rates of regular </w:t>
      </w:r>
      <w:r w:rsidR="008B50D5" w:rsidRPr="008B50D5">
        <w:rPr>
          <w:rFonts w:ascii="Book Antiqua" w:hAnsi="Book Antiqua"/>
          <w:sz w:val="24"/>
          <w:szCs w:val="24"/>
        </w:rPr>
        <w:t>tobacco and alcohol use in t</w:t>
      </w:r>
      <w:r w:rsidR="008B50D5">
        <w:rPr>
          <w:rFonts w:ascii="Book Antiqua" w:hAnsi="Book Antiqua"/>
          <w:sz w:val="24"/>
          <w:szCs w:val="24"/>
        </w:rPr>
        <w:t xml:space="preserve">he general population of India. </w:t>
      </w:r>
      <w:r w:rsidR="008B50D5" w:rsidRPr="008B50D5">
        <w:rPr>
          <w:rFonts w:ascii="Book Antiqua" w:hAnsi="Book Antiqua"/>
          <w:sz w:val="24"/>
          <w:szCs w:val="24"/>
        </w:rPr>
        <w:t xml:space="preserve">Data are also presented on the </w:t>
      </w:r>
      <w:r w:rsidR="008B50D5">
        <w:rPr>
          <w:rFonts w:ascii="Book Antiqua" w:hAnsi="Book Antiqua"/>
          <w:sz w:val="24"/>
          <w:szCs w:val="24"/>
        </w:rPr>
        <w:t xml:space="preserve">associations of regular tobacco </w:t>
      </w:r>
      <w:r w:rsidR="008B50D5" w:rsidRPr="008B50D5">
        <w:rPr>
          <w:rFonts w:ascii="Book Antiqua" w:hAnsi="Book Antiqua"/>
          <w:sz w:val="24"/>
          <w:szCs w:val="24"/>
        </w:rPr>
        <w:t>and alcohol use with age, gen</w:t>
      </w:r>
      <w:r w:rsidR="008B50D5">
        <w:rPr>
          <w:rFonts w:ascii="Book Antiqua" w:hAnsi="Book Antiqua"/>
          <w:sz w:val="24"/>
          <w:szCs w:val="24"/>
        </w:rPr>
        <w:t xml:space="preserve">der, social exclusion, poverty, </w:t>
      </w:r>
      <w:r w:rsidR="008B50D5" w:rsidRPr="008B50D5">
        <w:rPr>
          <w:rFonts w:ascii="Book Antiqua" w:hAnsi="Book Antiqua"/>
          <w:sz w:val="24"/>
          <w:szCs w:val="24"/>
        </w:rPr>
        <w:t>residence, and education</w:t>
      </w:r>
    </w:p>
    <w:p w:rsidR="008B50D5" w:rsidRDefault="008B50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METHODS</w:t>
      </w:r>
      <w:r>
        <w:rPr>
          <w:rFonts w:ascii="Book Antiqua" w:hAnsi="Book Antiqua"/>
          <w:sz w:val="24"/>
          <w:szCs w:val="24"/>
        </w:rPr>
        <w:br/>
      </w:r>
      <w:r w:rsidRPr="001361B0">
        <w:rPr>
          <w:rFonts w:ascii="Book Antiqua" w:hAnsi="Book Antiqua"/>
          <w:i/>
          <w:sz w:val="24"/>
          <w:szCs w:val="24"/>
        </w:rPr>
        <w:t>2.1. Sampling</w:t>
      </w:r>
    </w:p>
    <w:p w:rsidR="008B50D5" w:rsidRPr="001361B0" w:rsidRDefault="008B50D5">
      <w:pPr>
        <w:rPr>
          <w:rFonts w:ascii="Book Antiqua" w:hAnsi="Book Antiqua"/>
          <w:i/>
          <w:sz w:val="24"/>
          <w:szCs w:val="24"/>
          <w:u w:val="single"/>
        </w:rPr>
      </w:pPr>
      <w:r w:rsidRPr="001361B0">
        <w:rPr>
          <w:rFonts w:ascii="Book Antiqua" w:hAnsi="Book Antiqua"/>
          <w:i/>
          <w:sz w:val="24"/>
          <w:szCs w:val="24"/>
          <w:u w:val="single"/>
        </w:rPr>
        <w:t>2.1.1. Sample summary</w:t>
      </w:r>
    </w:p>
    <w:p w:rsidR="008B50D5" w:rsidRDefault="008B50D5" w:rsidP="001361B0">
      <w:pPr>
        <w:spacing w:line="480" w:lineRule="auto"/>
        <w:rPr>
          <w:rFonts w:ascii="Book Antiqua" w:hAnsi="Book Antiqua"/>
          <w:sz w:val="24"/>
          <w:szCs w:val="24"/>
        </w:rPr>
      </w:pPr>
      <w:r w:rsidRPr="008B50D5">
        <w:rPr>
          <w:rFonts w:ascii="Book Antiqua" w:hAnsi="Book Antiqua"/>
          <w:sz w:val="24"/>
          <w:szCs w:val="24"/>
        </w:rPr>
        <w:t>This study presents data from the 52nd round of the National Samp</w:t>
      </w:r>
      <w:r w:rsidR="002E638C">
        <w:rPr>
          <w:rFonts w:ascii="Book Antiqua" w:hAnsi="Book Antiqua"/>
          <w:sz w:val="24"/>
          <w:szCs w:val="24"/>
        </w:rPr>
        <w:t xml:space="preserve">le Survey (NSS), a national household survey </w:t>
      </w:r>
      <w:r w:rsidRPr="008B50D5">
        <w:rPr>
          <w:rFonts w:ascii="Book Antiqua" w:hAnsi="Book Antiqua"/>
          <w:sz w:val="24"/>
          <w:szCs w:val="24"/>
        </w:rPr>
        <w:t>conducted in India from June 1995 to June 1996 across all of</w:t>
      </w:r>
      <w:r w:rsidRPr="008B50D5">
        <w:rPr>
          <w:rFonts w:ascii="Book Antiqua" w:hAnsi="Book Antiqua"/>
          <w:sz w:val="24"/>
          <w:szCs w:val="24"/>
        </w:rPr>
        <w:br/>
        <w:t xml:space="preserve">India (National Sample Survey Organization (NSSO), </w:t>
      </w:r>
      <w:r w:rsidR="002E638C">
        <w:rPr>
          <w:rFonts w:ascii="Book Antiqua" w:hAnsi="Book Antiqua"/>
          <w:sz w:val="24"/>
          <w:szCs w:val="24"/>
        </w:rPr>
        <w:t xml:space="preserve">NSSO, </w:t>
      </w:r>
      <w:r w:rsidRPr="008B50D5">
        <w:rPr>
          <w:rFonts w:ascii="Book Antiqua" w:hAnsi="Book Antiqua"/>
          <w:sz w:val="24"/>
          <w:szCs w:val="24"/>
        </w:rPr>
        <w:t>1995, 1998).</w:t>
      </w:r>
    </w:p>
    <w:p w:rsidR="001361B0" w:rsidRDefault="001361B0" w:rsidP="001361B0">
      <w:pPr>
        <w:spacing w:line="480" w:lineRule="auto"/>
        <w:rPr>
          <w:rFonts w:ascii="Book Antiqua" w:hAnsi="Book Antiqua"/>
          <w:sz w:val="24"/>
          <w:szCs w:val="24"/>
        </w:rPr>
      </w:pPr>
    </w:p>
    <w:p w:rsidR="008B50D5" w:rsidRPr="001361B0" w:rsidRDefault="002E638C">
      <w:pPr>
        <w:rPr>
          <w:rFonts w:ascii="Book Antiqua" w:hAnsi="Book Antiqua"/>
          <w:i/>
          <w:sz w:val="24"/>
          <w:szCs w:val="24"/>
          <w:u w:val="single"/>
        </w:rPr>
      </w:pPr>
      <w:r w:rsidRPr="001361B0">
        <w:rPr>
          <w:rFonts w:ascii="Book Antiqua" w:hAnsi="Book Antiqua"/>
          <w:i/>
          <w:sz w:val="24"/>
          <w:szCs w:val="24"/>
          <w:u w:val="single"/>
        </w:rPr>
        <w:t>2.1.2. Sampling design</w:t>
      </w:r>
    </w:p>
    <w:p w:rsidR="002E638C" w:rsidRDefault="002E638C">
      <w:pPr>
        <w:rPr>
          <w:rFonts w:ascii="Book Antiqua" w:hAnsi="Book Antiqua"/>
          <w:sz w:val="24"/>
          <w:szCs w:val="24"/>
        </w:rPr>
      </w:pPr>
      <w:r w:rsidRPr="002E638C">
        <w:rPr>
          <w:rFonts w:ascii="Book Antiqua" w:hAnsi="Book Antiqua"/>
          <w:sz w:val="24"/>
          <w:szCs w:val="24"/>
        </w:rPr>
        <w:t>The NSS followed</w:t>
      </w:r>
      <w:r>
        <w:rPr>
          <w:rFonts w:ascii="Book Antiqua" w:hAnsi="Book Antiqua"/>
          <w:sz w:val="24"/>
          <w:szCs w:val="24"/>
        </w:rPr>
        <w:t xml:space="preserve"> a stratified two-stage design: </w:t>
      </w:r>
      <w:r w:rsidRPr="002E638C">
        <w:rPr>
          <w:rFonts w:ascii="Book Antiqua" w:hAnsi="Book Antiqua"/>
          <w:sz w:val="24"/>
          <w:szCs w:val="24"/>
        </w:rPr>
        <w:t xml:space="preserve">the first-stage units were census </w:t>
      </w:r>
      <w:r>
        <w:rPr>
          <w:rFonts w:ascii="Book Antiqua" w:hAnsi="Book Antiqua"/>
          <w:sz w:val="24"/>
          <w:szCs w:val="24"/>
        </w:rPr>
        <w:t xml:space="preserve">villages in the rural areas and </w:t>
      </w:r>
      <w:r w:rsidRPr="002E638C">
        <w:rPr>
          <w:rFonts w:ascii="Book Antiqua" w:hAnsi="Book Antiqua"/>
          <w:sz w:val="24"/>
          <w:szCs w:val="24"/>
        </w:rPr>
        <w:t>sampling frame blocks in urba</w:t>
      </w:r>
      <w:r>
        <w:rPr>
          <w:rFonts w:ascii="Book Antiqua" w:hAnsi="Book Antiqua"/>
          <w:sz w:val="24"/>
          <w:szCs w:val="24"/>
        </w:rPr>
        <w:t xml:space="preserve">n areas; the second-stage units </w:t>
      </w:r>
      <w:r w:rsidRPr="002E638C">
        <w:rPr>
          <w:rFonts w:ascii="Book Antiqua" w:hAnsi="Book Antiqua"/>
          <w:sz w:val="24"/>
          <w:szCs w:val="24"/>
        </w:rPr>
        <w:t xml:space="preserve">were households. Each of the </w:t>
      </w:r>
      <w:r>
        <w:rPr>
          <w:rFonts w:ascii="Book Antiqua" w:hAnsi="Book Antiqua"/>
          <w:sz w:val="24"/>
          <w:szCs w:val="24"/>
        </w:rPr>
        <w:t xml:space="preserve">35 states and union territories </w:t>
      </w:r>
      <w:r w:rsidRPr="002E638C">
        <w:rPr>
          <w:rFonts w:ascii="Book Antiqua" w:hAnsi="Book Antiqua"/>
          <w:sz w:val="24"/>
          <w:szCs w:val="24"/>
        </w:rPr>
        <w:t>of India was divided into o</w:t>
      </w:r>
      <w:r>
        <w:rPr>
          <w:rFonts w:ascii="Book Antiqua" w:hAnsi="Book Antiqua"/>
          <w:sz w:val="24"/>
          <w:szCs w:val="24"/>
        </w:rPr>
        <w:t xml:space="preserve">ne of the 78 mutually exclusive </w:t>
      </w:r>
      <w:r w:rsidRPr="002E638C">
        <w:rPr>
          <w:rFonts w:ascii="Book Antiqua" w:hAnsi="Book Antiqua"/>
          <w:sz w:val="24"/>
          <w:szCs w:val="24"/>
        </w:rPr>
        <w:t>agro-climatic regions. In each of thes</w:t>
      </w:r>
      <w:r>
        <w:rPr>
          <w:rFonts w:ascii="Book Antiqua" w:hAnsi="Book Antiqua"/>
          <w:sz w:val="24"/>
          <w:szCs w:val="24"/>
        </w:rPr>
        <w:t xml:space="preserve">e regions, the survey </w:t>
      </w:r>
      <w:r w:rsidRPr="002E638C">
        <w:rPr>
          <w:rFonts w:ascii="Book Antiqua" w:hAnsi="Book Antiqua"/>
          <w:sz w:val="24"/>
          <w:szCs w:val="24"/>
        </w:rPr>
        <w:t>was conducted in four wave</w:t>
      </w:r>
      <w:r>
        <w:rPr>
          <w:rFonts w:ascii="Book Antiqua" w:hAnsi="Book Antiqua"/>
          <w:sz w:val="24"/>
          <w:szCs w:val="24"/>
        </w:rPr>
        <w:t xml:space="preserve">s throughout the year to reduce </w:t>
      </w:r>
      <w:r w:rsidRPr="002E638C">
        <w:rPr>
          <w:rFonts w:ascii="Book Antiqua" w:hAnsi="Book Antiqua"/>
          <w:sz w:val="24"/>
          <w:szCs w:val="24"/>
        </w:rPr>
        <w:t>seasonal biases.</w:t>
      </w:r>
    </w:p>
    <w:p w:rsidR="002E638C" w:rsidRPr="001361B0" w:rsidRDefault="002E638C">
      <w:pPr>
        <w:rPr>
          <w:rFonts w:ascii="Book Antiqua" w:hAnsi="Book Antiqua"/>
          <w:i/>
          <w:sz w:val="24"/>
          <w:szCs w:val="24"/>
          <w:u w:val="single"/>
        </w:rPr>
      </w:pPr>
      <w:r w:rsidRPr="001361B0">
        <w:rPr>
          <w:rFonts w:ascii="Book Antiqua" w:hAnsi="Book Antiqua"/>
          <w:i/>
          <w:sz w:val="24"/>
          <w:szCs w:val="24"/>
          <w:u w:val="single"/>
        </w:rPr>
        <w:lastRenderedPageBreak/>
        <w:t>2.1.3. Sampling procedure</w:t>
      </w:r>
    </w:p>
    <w:p w:rsidR="002E638C" w:rsidRDefault="002E638C">
      <w:pPr>
        <w:rPr>
          <w:rFonts w:ascii="Book Antiqua" w:hAnsi="Book Antiqua"/>
          <w:sz w:val="24"/>
          <w:szCs w:val="24"/>
        </w:rPr>
      </w:pPr>
      <w:r w:rsidRPr="002E638C">
        <w:rPr>
          <w:rFonts w:ascii="Book Antiqua" w:hAnsi="Book Antiqua"/>
          <w:sz w:val="24"/>
          <w:szCs w:val="24"/>
        </w:rPr>
        <w:t xml:space="preserve">The survey was conducted </w:t>
      </w:r>
      <w:r>
        <w:rPr>
          <w:rFonts w:ascii="Book Antiqua" w:hAnsi="Book Antiqua"/>
          <w:sz w:val="24"/>
          <w:szCs w:val="24"/>
        </w:rPr>
        <w:t xml:space="preserve">by direct interview of the head of the household after verbal </w:t>
      </w:r>
      <w:r w:rsidRPr="002E638C">
        <w:rPr>
          <w:rFonts w:ascii="Book Antiqua" w:hAnsi="Book Antiqua"/>
          <w:sz w:val="24"/>
          <w:szCs w:val="24"/>
        </w:rPr>
        <w:t>consent was obtained. No personal identifiers were contained in the da</w:t>
      </w:r>
      <w:r>
        <w:rPr>
          <w:rFonts w:ascii="Book Antiqua" w:hAnsi="Book Antiqua"/>
          <w:sz w:val="24"/>
          <w:szCs w:val="24"/>
        </w:rPr>
        <w:t xml:space="preserve">tabase, thus </w:t>
      </w:r>
      <w:r w:rsidRPr="002E638C">
        <w:rPr>
          <w:rFonts w:ascii="Book Antiqua" w:hAnsi="Book Antiqua"/>
          <w:sz w:val="24"/>
          <w:szCs w:val="24"/>
        </w:rPr>
        <w:t xml:space="preserve">decreasing the risk of violating confidentiality of </w:t>
      </w:r>
      <w:r>
        <w:rPr>
          <w:rFonts w:ascii="Book Antiqua" w:hAnsi="Book Antiqua"/>
          <w:sz w:val="24"/>
          <w:szCs w:val="24"/>
        </w:rPr>
        <w:t xml:space="preserve">the respondents. The survey was </w:t>
      </w:r>
      <w:r w:rsidRPr="002E638C">
        <w:rPr>
          <w:rFonts w:ascii="Book Antiqua" w:hAnsi="Book Antiqua"/>
          <w:sz w:val="24"/>
          <w:szCs w:val="24"/>
        </w:rPr>
        <w:t>sponsored and approved for implementation by the government of India.</w:t>
      </w:r>
    </w:p>
    <w:p w:rsidR="00980196" w:rsidRDefault="00980196">
      <w:pPr>
        <w:rPr>
          <w:rFonts w:ascii="Book Antiqua" w:hAnsi="Book Antiqua"/>
          <w:sz w:val="24"/>
          <w:szCs w:val="24"/>
        </w:rPr>
      </w:pPr>
    </w:p>
    <w:p w:rsidR="00980196" w:rsidRPr="001361B0" w:rsidRDefault="00980196">
      <w:pPr>
        <w:rPr>
          <w:rFonts w:ascii="Book Antiqua" w:hAnsi="Book Antiqua"/>
          <w:i/>
          <w:sz w:val="24"/>
          <w:szCs w:val="24"/>
        </w:rPr>
      </w:pPr>
      <w:r w:rsidRPr="001361B0">
        <w:rPr>
          <w:rFonts w:ascii="Book Antiqua" w:hAnsi="Book Antiqua"/>
          <w:i/>
          <w:sz w:val="24"/>
          <w:szCs w:val="24"/>
        </w:rPr>
        <w:t>2.2. Study instruments</w:t>
      </w:r>
    </w:p>
    <w:p w:rsidR="00980196" w:rsidRDefault="00980196" w:rsidP="001361B0">
      <w:pPr>
        <w:spacing w:line="360" w:lineRule="auto"/>
        <w:rPr>
          <w:rFonts w:ascii="Book Antiqua" w:hAnsi="Book Antiqua"/>
          <w:sz w:val="24"/>
          <w:szCs w:val="24"/>
        </w:rPr>
      </w:pPr>
      <w:r w:rsidRPr="00980196">
        <w:rPr>
          <w:rFonts w:ascii="Book Antiqua" w:hAnsi="Book Antiqua"/>
          <w:sz w:val="24"/>
          <w:szCs w:val="24"/>
        </w:rPr>
        <w:t>The 52nd round of the N</w:t>
      </w:r>
      <w:r>
        <w:rPr>
          <w:rFonts w:ascii="Book Antiqua" w:hAnsi="Book Antiqua"/>
          <w:sz w:val="24"/>
          <w:szCs w:val="24"/>
        </w:rPr>
        <w:t xml:space="preserve">SS was specifically designed to </w:t>
      </w:r>
      <w:r w:rsidRPr="00980196">
        <w:rPr>
          <w:rFonts w:ascii="Book Antiqua" w:hAnsi="Book Antiqua"/>
          <w:sz w:val="24"/>
          <w:szCs w:val="24"/>
        </w:rPr>
        <w:t>assess morbidity and private he</w:t>
      </w:r>
      <w:r>
        <w:rPr>
          <w:rFonts w:ascii="Book Antiqua" w:hAnsi="Book Antiqua"/>
          <w:sz w:val="24"/>
          <w:szCs w:val="24"/>
        </w:rPr>
        <w:t xml:space="preserve">alth expenditures in India. </w:t>
      </w:r>
      <w:r w:rsidRPr="00980196">
        <w:rPr>
          <w:rFonts w:ascii="Book Antiqua" w:hAnsi="Book Antiqua"/>
          <w:sz w:val="24"/>
          <w:szCs w:val="24"/>
        </w:rPr>
        <w:t>In addition to multiple questions pertaining to household</w:t>
      </w:r>
      <w:r w:rsidRPr="00980196">
        <w:rPr>
          <w:rFonts w:ascii="Book Antiqua" w:hAnsi="Book Antiqua"/>
          <w:sz w:val="24"/>
          <w:szCs w:val="24"/>
        </w:rPr>
        <w:br/>
        <w:t xml:space="preserve">income, purchases, and health history, all household members aged 10 years and above were surveyed “whether regularly consuming: alcohol; </w:t>
      </w:r>
      <w:proofErr w:type="spellStart"/>
      <w:r w:rsidRPr="00980196">
        <w:rPr>
          <w:rFonts w:ascii="Book Antiqua" w:hAnsi="Book Antiqua"/>
          <w:sz w:val="24"/>
          <w:szCs w:val="24"/>
        </w:rPr>
        <w:t>biri</w:t>
      </w:r>
      <w:proofErr w:type="spellEnd"/>
      <w:r w:rsidRPr="00980196">
        <w:rPr>
          <w:rFonts w:ascii="Book Antiqua" w:hAnsi="Book Antiqua"/>
          <w:sz w:val="24"/>
          <w:szCs w:val="24"/>
        </w:rPr>
        <w:t>/cigar/cigarette/</w:t>
      </w:r>
      <w:proofErr w:type="spellStart"/>
      <w:r w:rsidRPr="00980196">
        <w:rPr>
          <w:rFonts w:ascii="Book Antiqua" w:hAnsi="Book Antiqua"/>
          <w:sz w:val="24"/>
          <w:szCs w:val="24"/>
        </w:rPr>
        <w:t>hukka</w:t>
      </w:r>
      <w:proofErr w:type="spellEnd"/>
      <w:r w:rsidRPr="00980196">
        <w:rPr>
          <w:rFonts w:ascii="Book Antiqua" w:hAnsi="Book Antiqua"/>
          <w:sz w:val="24"/>
          <w:szCs w:val="24"/>
        </w:rPr>
        <w:t>; or tobacco”.</w:t>
      </w:r>
    </w:p>
    <w:p w:rsidR="00980196" w:rsidRPr="001361B0" w:rsidRDefault="00980196">
      <w:pPr>
        <w:rPr>
          <w:rFonts w:ascii="Book Antiqua" w:hAnsi="Book Antiqua"/>
          <w:i/>
          <w:sz w:val="24"/>
          <w:szCs w:val="24"/>
        </w:rPr>
      </w:pPr>
      <w:r w:rsidRPr="001361B0">
        <w:rPr>
          <w:rFonts w:ascii="Book Antiqua" w:hAnsi="Book Antiqua"/>
          <w:i/>
          <w:sz w:val="24"/>
          <w:szCs w:val="24"/>
        </w:rPr>
        <w:t>2.3. Variables of the study</w:t>
      </w:r>
    </w:p>
    <w:p w:rsidR="00980196" w:rsidRDefault="00980196">
      <w:pPr>
        <w:rPr>
          <w:rFonts w:ascii="Book Antiqua" w:hAnsi="Book Antiqua"/>
          <w:sz w:val="24"/>
          <w:szCs w:val="24"/>
        </w:rPr>
      </w:pPr>
      <w:r w:rsidRPr="00980196">
        <w:rPr>
          <w:rFonts w:ascii="Book Antiqua" w:hAnsi="Book Antiqua"/>
          <w:sz w:val="24"/>
          <w:szCs w:val="24"/>
        </w:rPr>
        <w:t>Socio-economic variables were determined in the following manner. Income quintil</w:t>
      </w:r>
      <w:r>
        <w:rPr>
          <w:rFonts w:ascii="Book Antiqua" w:hAnsi="Book Antiqua"/>
          <w:sz w:val="24"/>
          <w:szCs w:val="24"/>
        </w:rPr>
        <w:t xml:space="preserve">es were estimated using monthly </w:t>
      </w:r>
      <w:r w:rsidRPr="00980196">
        <w:rPr>
          <w:rFonts w:ascii="Book Antiqua" w:hAnsi="Book Antiqua"/>
          <w:sz w:val="24"/>
          <w:szCs w:val="24"/>
        </w:rPr>
        <w:t>per capita household consu</w:t>
      </w:r>
      <w:r>
        <w:rPr>
          <w:rFonts w:ascii="Book Antiqua" w:hAnsi="Book Antiqua"/>
          <w:sz w:val="24"/>
          <w:szCs w:val="24"/>
        </w:rPr>
        <w:t xml:space="preserve">mption of all food and non-food </w:t>
      </w:r>
      <w:r w:rsidRPr="00980196">
        <w:rPr>
          <w:rFonts w:ascii="Book Antiqua" w:hAnsi="Book Antiqua"/>
          <w:sz w:val="24"/>
          <w:szCs w:val="24"/>
        </w:rPr>
        <w:t xml:space="preserve">items. Individuals were ranked according to per capita consumption level and assigned </w:t>
      </w:r>
      <w:r>
        <w:rPr>
          <w:rFonts w:ascii="Book Antiqua" w:hAnsi="Book Antiqua"/>
          <w:sz w:val="24"/>
          <w:szCs w:val="24"/>
        </w:rPr>
        <w:t xml:space="preserve">to their respective quintile of </w:t>
      </w:r>
      <w:r w:rsidRPr="00980196">
        <w:rPr>
          <w:rFonts w:ascii="Book Antiqua" w:hAnsi="Book Antiqua"/>
          <w:sz w:val="24"/>
          <w:szCs w:val="24"/>
        </w:rPr>
        <w:t>the population. The poverty line was established by the Planning Commission of India for</w:t>
      </w:r>
      <w:r>
        <w:rPr>
          <w:rFonts w:ascii="Book Antiqua" w:hAnsi="Book Antiqua"/>
          <w:sz w:val="24"/>
          <w:szCs w:val="24"/>
        </w:rPr>
        <w:t xml:space="preserve"> rural and urban populations in </w:t>
      </w:r>
      <w:r w:rsidRPr="00980196">
        <w:rPr>
          <w:rFonts w:ascii="Book Antiqua" w:hAnsi="Book Antiqua"/>
          <w:sz w:val="24"/>
          <w:szCs w:val="24"/>
        </w:rPr>
        <w:t>each state, and was based o</w:t>
      </w:r>
      <w:r>
        <w:rPr>
          <w:rFonts w:ascii="Book Antiqua" w:hAnsi="Book Antiqua"/>
          <w:sz w:val="24"/>
          <w:szCs w:val="24"/>
        </w:rPr>
        <w:t xml:space="preserve">n an estimate of the per capita </w:t>
      </w:r>
      <w:r w:rsidRPr="00980196">
        <w:rPr>
          <w:rFonts w:ascii="Book Antiqua" w:hAnsi="Book Antiqua"/>
          <w:sz w:val="24"/>
          <w:szCs w:val="24"/>
        </w:rPr>
        <w:t>consumer expenditure required to e</w:t>
      </w:r>
      <w:r>
        <w:rPr>
          <w:rFonts w:ascii="Book Antiqua" w:hAnsi="Book Antiqua"/>
          <w:sz w:val="24"/>
          <w:szCs w:val="24"/>
        </w:rPr>
        <w:t xml:space="preserve">nsure an intake of 2100 </w:t>
      </w:r>
      <w:r w:rsidRPr="00980196">
        <w:rPr>
          <w:rFonts w:ascii="Book Antiqua" w:hAnsi="Book Antiqua"/>
          <w:sz w:val="24"/>
          <w:szCs w:val="24"/>
        </w:rPr>
        <w:t xml:space="preserve">calories per day in urban </w:t>
      </w:r>
      <w:r>
        <w:rPr>
          <w:rFonts w:ascii="Book Antiqua" w:hAnsi="Book Antiqua"/>
          <w:sz w:val="24"/>
          <w:szCs w:val="24"/>
        </w:rPr>
        <w:t xml:space="preserve">areas and 2400 calories per day </w:t>
      </w:r>
      <w:r w:rsidRPr="00980196">
        <w:rPr>
          <w:rFonts w:ascii="Book Antiqua" w:hAnsi="Book Antiqua"/>
          <w:sz w:val="24"/>
          <w:szCs w:val="24"/>
        </w:rPr>
        <w:t>in rural areas</w:t>
      </w:r>
      <w:r>
        <w:rPr>
          <w:rFonts w:ascii="Book Antiqua" w:hAnsi="Book Antiqua"/>
          <w:sz w:val="24"/>
          <w:szCs w:val="24"/>
        </w:rPr>
        <w:t>.</w:t>
      </w:r>
    </w:p>
    <w:p w:rsidR="00980196" w:rsidRDefault="00980196">
      <w:pPr>
        <w:rPr>
          <w:rFonts w:ascii="Book Antiqua" w:hAnsi="Book Antiqua"/>
          <w:sz w:val="24"/>
          <w:szCs w:val="24"/>
        </w:rPr>
      </w:pPr>
    </w:p>
    <w:p w:rsidR="00980196" w:rsidRDefault="00980196" w:rsidP="001361B0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 RESULTS</w:t>
      </w:r>
      <w:r>
        <w:rPr>
          <w:rFonts w:ascii="Book Antiqua" w:hAnsi="Book Antiqua"/>
          <w:sz w:val="24"/>
          <w:szCs w:val="24"/>
        </w:rPr>
        <w:br/>
      </w:r>
      <w:r w:rsidRPr="00980196">
        <w:rPr>
          <w:rFonts w:ascii="Book Antiqua" w:hAnsi="Book Antiqua"/>
          <w:sz w:val="24"/>
          <w:szCs w:val="24"/>
        </w:rPr>
        <w:t xml:space="preserve">The total sample revealed </w:t>
      </w:r>
      <w:r>
        <w:rPr>
          <w:rFonts w:ascii="Book Antiqua" w:hAnsi="Book Antiqua"/>
          <w:sz w:val="24"/>
          <w:szCs w:val="24"/>
        </w:rPr>
        <w:t xml:space="preserve">prevalence estimates of regular </w:t>
      </w:r>
      <w:r w:rsidRPr="00980196">
        <w:rPr>
          <w:rFonts w:ascii="Book Antiqua" w:hAnsi="Book Antiqua"/>
          <w:sz w:val="24"/>
          <w:szCs w:val="24"/>
        </w:rPr>
        <w:t>smoking of tobacco products of 16.2% (95% confidence interval (CI): 16.1–16.3) for the population o</w:t>
      </w:r>
      <w:r>
        <w:rPr>
          <w:rFonts w:ascii="Book Antiqua" w:hAnsi="Book Antiqua"/>
          <w:sz w:val="24"/>
          <w:szCs w:val="24"/>
        </w:rPr>
        <w:t xml:space="preserve">f individuals 10 </w:t>
      </w:r>
      <w:r w:rsidRPr="00980196">
        <w:rPr>
          <w:rFonts w:ascii="Book Antiqua" w:hAnsi="Book Antiqua"/>
          <w:sz w:val="24"/>
          <w:szCs w:val="24"/>
        </w:rPr>
        <w:t xml:space="preserve">years and older and regular </w:t>
      </w:r>
      <w:r>
        <w:rPr>
          <w:rFonts w:ascii="Book Antiqua" w:hAnsi="Book Antiqua"/>
          <w:sz w:val="24"/>
          <w:szCs w:val="24"/>
        </w:rPr>
        <w:t xml:space="preserve">use of chewing tobacco of 14.0% </w:t>
      </w:r>
      <w:r w:rsidRPr="00980196">
        <w:rPr>
          <w:rFonts w:ascii="Book Antiqua" w:hAnsi="Book Antiqua"/>
          <w:sz w:val="24"/>
          <w:szCs w:val="24"/>
        </w:rPr>
        <w:t>(95% CI: 13.9–14.1). The pr</w:t>
      </w:r>
      <w:r>
        <w:rPr>
          <w:rFonts w:ascii="Book Antiqua" w:hAnsi="Book Antiqua"/>
          <w:sz w:val="24"/>
          <w:szCs w:val="24"/>
        </w:rPr>
        <w:t xml:space="preserve">evalence of regular alcohol use </w:t>
      </w:r>
      <w:r w:rsidRPr="00980196">
        <w:rPr>
          <w:rFonts w:ascii="Book Antiqua" w:hAnsi="Book Antiqua"/>
          <w:sz w:val="24"/>
          <w:szCs w:val="24"/>
        </w:rPr>
        <w:t>was 4.5% (95% CI: 4.5–4.6).</w:t>
      </w:r>
    </w:p>
    <w:p w:rsidR="001361B0" w:rsidRDefault="001361B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Table 1</w:t>
      </w:r>
    </w:p>
    <w:p w:rsidR="001361B0" w:rsidRPr="001361B0" w:rsidRDefault="001361B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Gender wise prevalence of tobacco and alcohol use</w:t>
      </w:r>
    </w:p>
    <w:tbl>
      <w:tblPr>
        <w:tblStyle w:val="TableGrid"/>
        <w:tblW w:w="9816" w:type="dxa"/>
        <w:tblLook w:val="04A0" w:firstRow="1" w:lastRow="0" w:firstColumn="1" w:lastColumn="0" w:noHBand="0" w:noVBand="1"/>
      </w:tblPr>
      <w:tblGrid>
        <w:gridCol w:w="3272"/>
        <w:gridCol w:w="3272"/>
        <w:gridCol w:w="3272"/>
      </w:tblGrid>
      <w:tr w:rsidR="00980196" w:rsidTr="001361B0">
        <w:trPr>
          <w:trHeight w:val="475"/>
        </w:trPr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Variables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Males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Females</w:t>
            </w:r>
          </w:p>
        </w:tc>
      </w:tr>
      <w:tr w:rsidR="00980196" w:rsidTr="001361B0">
        <w:trPr>
          <w:trHeight w:val="452"/>
        </w:trPr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Total number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242,827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228,239</w:t>
            </w:r>
          </w:p>
        </w:tc>
      </w:tr>
      <w:tr w:rsidR="00980196" w:rsidTr="001361B0">
        <w:trPr>
          <w:trHeight w:val="475"/>
        </w:trPr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Smoking tobacco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29.6%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2.2%</w:t>
            </w:r>
          </w:p>
        </w:tc>
      </w:tr>
      <w:tr w:rsidR="00980196" w:rsidTr="001361B0">
        <w:trPr>
          <w:trHeight w:val="475"/>
        </w:trPr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Chewing tobacco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20.2%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7.4%</w:t>
            </w:r>
          </w:p>
        </w:tc>
      </w:tr>
      <w:tr w:rsidR="00980196" w:rsidTr="001361B0">
        <w:trPr>
          <w:trHeight w:val="475"/>
        </w:trPr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Alcohol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7.9%</w:t>
            </w:r>
          </w:p>
        </w:tc>
        <w:tc>
          <w:tcPr>
            <w:tcW w:w="3272" w:type="dxa"/>
          </w:tcPr>
          <w:p w:rsidR="00980196" w:rsidRDefault="002C6F95" w:rsidP="001361B0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1.0%</w:t>
            </w:r>
          </w:p>
        </w:tc>
      </w:tr>
    </w:tbl>
    <w:p w:rsidR="00980196" w:rsidRDefault="00980196">
      <w:pPr>
        <w:rPr>
          <w:rFonts w:ascii="Book Antiqua" w:hAnsi="Book Antiqua"/>
          <w:sz w:val="24"/>
          <w:szCs w:val="24"/>
        </w:rPr>
      </w:pPr>
    </w:p>
    <w:p w:rsidR="000C1E4F" w:rsidRDefault="000C1E4F" w:rsidP="001361B0">
      <w:p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 References</w:t>
      </w:r>
    </w:p>
    <w:p w:rsidR="000C1E4F" w:rsidRPr="000C1E4F" w:rsidRDefault="002D66A7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hyperlink r:id="rId8" w:history="1">
        <w:r w:rsidR="000C1E4F" w:rsidRPr="000C1E4F">
          <w:rPr>
            <w:rStyle w:val="Hyperlink"/>
            <w:rFonts w:ascii="Book Antiqua" w:hAnsi="Book Antiqua"/>
            <w:sz w:val="24"/>
            <w:szCs w:val="24"/>
          </w:rPr>
          <w:t>https://www.impactguru.com/blog/world-no-tobacco-day-4-young-indians-tell-us-how-and-why-they-quit-smoking</w:t>
        </w:r>
      </w:hyperlink>
    </w:p>
    <w:p w:rsidR="000C1E4F" w:rsidRPr="000C1E4F" w:rsidRDefault="000C1E4F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 w:rsidRPr="000C1E4F">
        <w:rPr>
          <w:rFonts w:ascii="Book Antiqua" w:hAnsi="Book Antiqua"/>
          <w:sz w:val="24"/>
          <w:szCs w:val="24"/>
        </w:rPr>
        <w:t>Murray, C.J. and Lopez, A.D., 1996. Evidence-based health policy--lessons from the Global Burden of Disease Study. </w:t>
      </w:r>
      <w:r w:rsidRPr="000C1E4F">
        <w:rPr>
          <w:rFonts w:ascii="Book Antiqua" w:hAnsi="Book Antiqua"/>
          <w:i/>
          <w:iCs/>
          <w:sz w:val="24"/>
          <w:szCs w:val="24"/>
        </w:rPr>
        <w:t>Science</w:t>
      </w:r>
      <w:r w:rsidRPr="000C1E4F">
        <w:rPr>
          <w:rFonts w:ascii="Book Antiqua" w:hAnsi="Book Antiqua"/>
          <w:sz w:val="24"/>
          <w:szCs w:val="24"/>
        </w:rPr>
        <w:t>, </w:t>
      </w:r>
      <w:r w:rsidRPr="000C1E4F">
        <w:rPr>
          <w:rFonts w:ascii="Book Antiqua" w:hAnsi="Book Antiqua"/>
          <w:i/>
          <w:iCs/>
          <w:sz w:val="24"/>
          <w:szCs w:val="24"/>
        </w:rPr>
        <w:t>274</w:t>
      </w:r>
      <w:r w:rsidRPr="000C1E4F">
        <w:rPr>
          <w:rFonts w:ascii="Book Antiqua" w:hAnsi="Book Antiqua"/>
          <w:sz w:val="24"/>
          <w:szCs w:val="24"/>
        </w:rPr>
        <w:t>(5288), pp.740-743.</w:t>
      </w:r>
    </w:p>
    <w:p w:rsidR="000C1E4F" w:rsidRPr="000C1E4F" w:rsidRDefault="000C1E4F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 w:rsidRPr="000C1E4F">
        <w:rPr>
          <w:rFonts w:ascii="Book Antiqua" w:hAnsi="Book Antiqua"/>
          <w:sz w:val="24"/>
          <w:szCs w:val="24"/>
        </w:rPr>
        <w:t xml:space="preserve">Doll, Richard, and Richard </w:t>
      </w:r>
      <w:proofErr w:type="spellStart"/>
      <w:r w:rsidRPr="000C1E4F">
        <w:rPr>
          <w:rFonts w:ascii="Book Antiqua" w:hAnsi="Book Antiqua"/>
          <w:sz w:val="24"/>
          <w:szCs w:val="24"/>
        </w:rPr>
        <w:t>Peto</w:t>
      </w:r>
      <w:proofErr w:type="spellEnd"/>
      <w:r w:rsidRPr="000C1E4F">
        <w:rPr>
          <w:rFonts w:ascii="Book Antiqua" w:hAnsi="Book Antiqua"/>
          <w:sz w:val="24"/>
          <w:szCs w:val="24"/>
        </w:rPr>
        <w:t>. "The causes of cancer: quantitative estimates of avoidable risks of cancer in the United States today." </w:t>
      </w:r>
      <w:r w:rsidRPr="000C1E4F">
        <w:rPr>
          <w:rFonts w:ascii="Book Antiqua" w:hAnsi="Book Antiqua"/>
          <w:i/>
          <w:iCs/>
          <w:sz w:val="24"/>
          <w:szCs w:val="24"/>
        </w:rPr>
        <w:t>JNCI: Journal of the National Cancer Institute</w:t>
      </w:r>
      <w:r w:rsidRPr="000C1E4F">
        <w:rPr>
          <w:rFonts w:ascii="Book Antiqua" w:hAnsi="Book Antiqua"/>
          <w:sz w:val="24"/>
          <w:szCs w:val="24"/>
        </w:rPr>
        <w:t> 66.6 (1981): 1192-1308.</w:t>
      </w:r>
    </w:p>
    <w:p w:rsidR="000C1E4F" w:rsidRPr="000C1E4F" w:rsidRDefault="000C1E4F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proofErr w:type="spellStart"/>
      <w:r w:rsidRPr="000C1E4F">
        <w:rPr>
          <w:rFonts w:ascii="Book Antiqua" w:hAnsi="Book Antiqua"/>
          <w:sz w:val="24"/>
          <w:szCs w:val="24"/>
        </w:rPr>
        <w:t>Andreasson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 S, Brandt L. Mortality and morbidity related to alcohol. Alcohol and alcoholism. 1997 Mar 1</w:t>
      </w:r>
      <w:proofErr w:type="gramStart"/>
      <w:r w:rsidRPr="000C1E4F">
        <w:rPr>
          <w:rFonts w:ascii="Book Antiqua" w:hAnsi="Book Antiqua"/>
          <w:sz w:val="24"/>
          <w:szCs w:val="24"/>
        </w:rPr>
        <w:t>;32</w:t>
      </w:r>
      <w:proofErr w:type="gramEnd"/>
      <w:r w:rsidRPr="000C1E4F">
        <w:rPr>
          <w:rFonts w:ascii="Book Antiqua" w:hAnsi="Book Antiqua"/>
          <w:sz w:val="24"/>
          <w:szCs w:val="24"/>
        </w:rPr>
        <w:t>(2):173-8.</w:t>
      </w:r>
    </w:p>
    <w:p w:rsidR="000C1E4F" w:rsidRPr="000C1E4F" w:rsidRDefault="002D66A7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hyperlink r:id="rId9" w:history="1">
        <w:r w:rsidR="000C1E4F" w:rsidRPr="000C1E4F">
          <w:rPr>
            <w:rStyle w:val="Hyperlink"/>
            <w:rFonts w:ascii="Book Antiqua" w:hAnsi="Book Antiqua"/>
            <w:sz w:val="24"/>
            <w:szCs w:val="24"/>
          </w:rPr>
          <w:t>http://globalhealthequality.blogspot.com/2011/11/history-of-tobacco-in-india-and-its.html</w:t>
        </w:r>
      </w:hyperlink>
    </w:p>
    <w:p w:rsidR="000C1E4F" w:rsidRPr="000C1E4F" w:rsidRDefault="000C1E4F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proofErr w:type="spellStart"/>
      <w:r w:rsidRPr="000C1E4F">
        <w:rPr>
          <w:rFonts w:ascii="Book Antiqua" w:hAnsi="Book Antiqua"/>
          <w:sz w:val="24"/>
          <w:szCs w:val="24"/>
        </w:rPr>
        <w:t>Rehm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, J., Room, R., Graham, K., Monteiro, M., </w:t>
      </w:r>
      <w:proofErr w:type="spellStart"/>
      <w:r w:rsidRPr="000C1E4F">
        <w:rPr>
          <w:rFonts w:ascii="Book Antiqua" w:hAnsi="Book Antiqua"/>
          <w:sz w:val="24"/>
          <w:szCs w:val="24"/>
        </w:rPr>
        <w:t>Gmel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, G., &amp; </w:t>
      </w:r>
      <w:proofErr w:type="spellStart"/>
      <w:r w:rsidRPr="000C1E4F">
        <w:rPr>
          <w:rFonts w:ascii="Book Antiqua" w:hAnsi="Book Antiqua"/>
          <w:sz w:val="24"/>
          <w:szCs w:val="24"/>
        </w:rPr>
        <w:t>Sempos</w:t>
      </w:r>
      <w:proofErr w:type="spellEnd"/>
      <w:r w:rsidRPr="000C1E4F">
        <w:rPr>
          <w:rFonts w:ascii="Book Antiqua" w:hAnsi="Book Antiqua"/>
          <w:sz w:val="24"/>
          <w:szCs w:val="24"/>
        </w:rPr>
        <w:t>, C. T. (2003). The relationship of average volume of alcohol consumption and patterns of drinking to burden of disease: an overview. </w:t>
      </w:r>
      <w:r w:rsidRPr="000C1E4F">
        <w:rPr>
          <w:rFonts w:ascii="Book Antiqua" w:hAnsi="Book Antiqua"/>
          <w:i/>
          <w:iCs/>
          <w:sz w:val="24"/>
          <w:szCs w:val="24"/>
        </w:rPr>
        <w:t>Addiction</w:t>
      </w:r>
      <w:r w:rsidRPr="000C1E4F">
        <w:rPr>
          <w:rFonts w:ascii="Book Antiqua" w:hAnsi="Book Antiqua"/>
          <w:sz w:val="24"/>
          <w:szCs w:val="24"/>
        </w:rPr>
        <w:t>, </w:t>
      </w:r>
      <w:r w:rsidRPr="000C1E4F">
        <w:rPr>
          <w:rFonts w:ascii="Book Antiqua" w:hAnsi="Book Antiqua"/>
          <w:i/>
          <w:iCs/>
          <w:sz w:val="24"/>
          <w:szCs w:val="24"/>
        </w:rPr>
        <w:t>98</w:t>
      </w:r>
      <w:r w:rsidRPr="000C1E4F">
        <w:rPr>
          <w:rFonts w:ascii="Book Antiqua" w:hAnsi="Book Antiqua"/>
          <w:sz w:val="24"/>
          <w:szCs w:val="24"/>
        </w:rPr>
        <w:t>(9), 1209-1228.</w:t>
      </w:r>
    </w:p>
    <w:p w:rsidR="000C1E4F" w:rsidRPr="000C1E4F" w:rsidRDefault="000C1E4F" w:rsidP="001361B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  <w:szCs w:val="24"/>
        </w:rPr>
      </w:pPr>
      <w:r w:rsidRPr="000C1E4F">
        <w:rPr>
          <w:rFonts w:ascii="Book Antiqua" w:hAnsi="Book Antiqua"/>
          <w:sz w:val="24"/>
          <w:szCs w:val="24"/>
        </w:rPr>
        <w:lastRenderedPageBreak/>
        <w:t xml:space="preserve">Peters, David H., </w:t>
      </w:r>
      <w:proofErr w:type="spellStart"/>
      <w:r w:rsidRPr="000C1E4F">
        <w:rPr>
          <w:rFonts w:ascii="Book Antiqua" w:hAnsi="Book Antiqua"/>
          <w:sz w:val="24"/>
          <w:szCs w:val="24"/>
        </w:rPr>
        <w:t>Abdo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 S. </w:t>
      </w:r>
      <w:proofErr w:type="spellStart"/>
      <w:r w:rsidRPr="000C1E4F">
        <w:rPr>
          <w:rFonts w:ascii="Book Antiqua" w:hAnsi="Book Antiqua"/>
          <w:sz w:val="24"/>
          <w:szCs w:val="24"/>
        </w:rPr>
        <w:t>Yazbeck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, Rashmi R. Sharma, G. N. V. </w:t>
      </w:r>
      <w:proofErr w:type="spellStart"/>
      <w:r w:rsidRPr="000C1E4F">
        <w:rPr>
          <w:rFonts w:ascii="Book Antiqua" w:hAnsi="Book Antiqua"/>
          <w:sz w:val="24"/>
          <w:szCs w:val="24"/>
        </w:rPr>
        <w:t>Ramana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C1E4F">
        <w:rPr>
          <w:rFonts w:ascii="Book Antiqua" w:hAnsi="Book Antiqua"/>
          <w:sz w:val="24"/>
          <w:szCs w:val="24"/>
        </w:rPr>
        <w:t>Lant</w:t>
      </w:r>
      <w:proofErr w:type="spellEnd"/>
      <w:r w:rsidRPr="000C1E4F">
        <w:rPr>
          <w:rFonts w:ascii="Book Antiqua" w:hAnsi="Book Antiqua"/>
          <w:sz w:val="24"/>
          <w:szCs w:val="24"/>
        </w:rPr>
        <w:t xml:space="preserve"> H. Pritchett, and Adam </w:t>
      </w:r>
      <w:proofErr w:type="spellStart"/>
      <w:r w:rsidRPr="000C1E4F">
        <w:rPr>
          <w:rFonts w:ascii="Book Antiqua" w:hAnsi="Book Antiqua"/>
          <w:sz w:val="24"/>
          <w:szCs w:val="24"/>
        </w:rPr>
        <w:t>Wagstaff</w:t>
      </w:r>
      <w:proofErr w:type="spellEnd"/>
      <w:r w:rsidRPr="000C1E4F">
        <w:rPr>
          <w:rFonts w:ascii="Book Antiqua" w:hAnsi="Book Antiqua"/>
          <w:sz w:val="24"/>
          <w:szCs w:val="24"/>
        </w:rPr>
        <w:t>. </w:t>
      </w:r>
      <w:proofErr w:type="gramStart"/>
      <w:r w:rsidRPr="000C1E4F">
        <w:rPr>
          <w:rFonts w:ascii="Book Antiqua" w:hAnsi="Book Antiqua"/>
          <w:i/>
          <w:iCs/>
          <w:sz w:val="24"/>
          <w:szCs w:val="24"/>
        </w:rPr>
        <w:t>Better health systems for India's</w:t>
      </w:r>
      <w:proofErr w:type="gramEnd"/>
      <w:r w:rsidRPr="000C1E4F">
        <w:rPr>
          <w:rFonts w:ascii="Book Antiqua" w:hAnsi="Book Antiqua"/>
          <w:i/>
          <w:iCs/>
          <w:sz w:val="24"/>
          <w:szCs w:val="24"/>
        </w:rPr>
        <w:t xml:space="preserve"> poor: findings, analysis, and options</w:t>
      </w:r>
      <w:r w:rsidRPr="000C1E4F">
        <w:rPr>
          <w:rFonts w:ascii="Book Antiqua" w:hAnsi="Book Antiqua"/>
          <w:sz w:val="24"/>
          <w:szCs w:val="24"/>
        </w:rPr>
        <w:t>. The World Bank, 2002.</w:t>
      </w:r>
    </w:p>
    <w:sectPr w:rsidR="000C1E4F" w:rsidRPr="000C1E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A7" w:rsidRDefault="002D66A7" w:rsidP="00465141">
      <w:pPr>
        <w:spacing w:after="0" w:line="240" w:lineRule="auto"/>
      </w:pPr>
      <w:r>
        <w:separator/>
      </w:r>
    </w:p>
  </w:endnote>
  <w:endnote w:type="continuationSeparator" w:id="0">
    <w:p w:rsidR="002D66A7" w:rsidRDefault="002D66A7" w:rsidP="0046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66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141" w:rsidRDefault="00465141">
        <w:pPr>
          <w:pStyle w:val="Footer"/>
          <w:jc w:val="center"/>
        </w:pPr>
        <w:r w:rsidRPr="00465141">
          <w:rPr>
            <w:sz w:val="24"/>
          </w:rPr>
          <w:fldChar w:fldCharType="begin"/>
        </w:r>
        <w:r w:rsidRPr="00465141">
          <w:rPr>
            <w:sz w:val="24"/>
          </w:rPr>
          <w:instrText xml:space="preserve"> PAGE   \* MERGEFORMAT </w:instrText>
        </w:r>
        <w:r w:rsidRPr="00465141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465141">
          <w:rPr>
            <w:noProof/>
            <w:sz w:val="24"/>
          </w:rPr>
          <w:fldChar w:fldCharType="end"/>
        </w:r>
      </w:p>
    </w:sdtContent>
  </w:sdt>
  <w:p w:rsidR="00465141" w:rsidRDefault="00465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A7" w:rsidRDefault="002D66A7" w:rsidP="00465141">
      <w:pPr>
        <w:spacing w:after="0" w:line="240" w:lineRule="auto"/>
      </w:pPr>
      <w:r>
        <w:separator/>
      </w:r>
    </w:p>
  </w:footnote>
  <w:footnote w:type="continuationSeparator" w:id="0">
    <w:p w:rsidR="002D66A7" w:rsidRDefault="002D66A7" w:rsidP="0046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41" w:rsidRPr="00465141" w:rsidRDefault="00465141" w:rsidP="00465141">
    <w:pPr>
      <w:pStyle w:val="Header"/>
      <w:tabs>
        <w:tab w:val="clear" w:pos="4680"/>
        <w:tab w:val="clear" w:pos="9360"/>
        <w:tab w:val="left" w:pos="6420"/>
      </w:tabs>
      <w:rPr>
        <w:sz w:val="24"/>
        <w:szCs w:val="24"/>
      </w:rPr>
    </w:pPr>
    <w:r w:rsidRPr="00465141">
      <w:rPr>
        <w:sz w:val="24"/>
        <w:szCs w:val="24"/>
      </w:rPr>
      <w:t xml:space="preserve">                                                                               </w:t>
    </w:r>
    <w:r>
      <w:rPr>
        <w:sz w:val="24"/>
        <w:szCs w:val="24"/>
      </w:rPr>
      <w:t xml:space="preserve">          </w:t>
    </w:r>
    <w:r w:rsidRPr="00465141">
      <w:rPr>
        <w:sz w:val="24"/>
        <w:szCs w:val="24"/>
      </w:rPr>
      <w:t>Regular use of alcohol and tobacco in India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43F"/>
    <w:multiLevelType w:val="hybridMultilevel"/>
    <w:tmpl w:val="6A36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D5"/>
    <w:rsid w:val="000C1E4F"/>
    <w:rsid w:val="001361B0"/>
    <w:rsid w:val="002C6F95"/>
    <w:rsid w:val="002D66A7"/>
    <w:rsid w:val="002E638C"/>
    <w:rsid w:val="00465141"/>
    <w:rsid w:val="004D1D97"/>
    <w:rsid w:val="008438B8"/>
    <w:rsid w:val="008B50D5"/>
    <w:rsid w:val="00980196"/>
    <w:rsid w:val="00A8561B"/>
    <w:rsid w:val="00E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E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41"/>
  </w:style>
  <w:style w:type="paragraph" w:styleId="Footer">
    <w:name w:val="footer"/>
    <w:basedOn w:val="Normal"/>
    <w:link w:val="FooterChar"/>
    <w:uiPriority w:val="99"/>
    <w:unhideWhenUsed/>
    <w:rsid w:val="0046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E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41"/>
  </w:style>
  <w:style w:type="paragraph" w:styleId="Footer">
    <w:name w:val="footer"/>
    <w:basedOn w:val="Normal"/>
    <w:link w:val="FooterChar"/>
    <w:uiPriority w:val="99"/>
    <w:unhideWhenUsed/>
    <w:rsid w:val="00465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actguru.com/blog/world-no-tobacco-day-4-young-indians-tell-us-how-and-why-they-quit-smok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lobalhealthequality.blogspot.com/2011/11/history-of-tobacco-in-india-and-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Prakat</dc:creator>
  <cp:lastModifiedBy>Prakat</cp:lastModifiedBy>
  <cp:revision>4</cp:revision>
  <dcterms:created xsi:type="dcterms:W3CDTF">2019-08-25T14:30:00Z</dcterms:created>
  <dcterms:modified xsi:type="dcterms:W3CDTF">2019-09-09T06:10:00Z</dcterms:modified>
</cp:coreProperties>
</file>